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7AC5" w14:textId="3F91CAED" w:rsidR="00565D55" w:rsidRPr="008826D0" w:rsidRDefault="00AA378B" w:rsidP="008826D0">
      <w:pPr>
        <w:jc w:val="center"/>
        <w:rPr>
          <w:b/>
          <w:bCs/>
        </w:rPr>
      </w:pPr>
      <w:r w:rsidRPr="008826D0">
        <w:rPr>
          <w:b/>
          <w:bCs/>
        </w:rPr>
        <w:t>Lower Taff and the Vale Forest Resource Plan – Objectives Only</w:t>
      </w:r>
    </w:p>
    <w:p w14:paraId="5722CB79" w14:textId="46A11A18" w:rsidR="00AA378B" w:rsidRDefault="00AA378B">
      <w:r>
        <w:rPr>
          <w:rStyle w:val="normaltextrun"/>
          <w:rFonts w:ascii="Calibri Light" w:hAnsi="Calibri Light" w:cs="Calibri Light"/>
          <w:color w:val="2F5496"/>
          <w:sz w:val="32"/>
          <w:szCs w:val="32"/>
          <w:shd w:val="clear" w:color="auto" w:fill="FFFFFF"/>
        </w:rPr>
        <w:t>Summary of Objectives for the Lower Taff and The Vale Forest Resource Plan</w:t>
      </w:r>
      <w:r>
        <w:rPr>
          <w:rStyle w:val="eop"/>
          <w:rFonts w:ascii="Calibri Light" w:hAnsi="Calibri Light" w:cs="Calibri Light"/>
          <w:color w:val="2F5496"/>
          <w:sz w:val="32"/>
          <w:szCs w:val="32"/>
          <w:shd w:val="clear" w:color="auto" w:fill="FFFFFF"/>
        </w:rPr>
        <w:t> </w:t>
      </w:r>
    </w:p>
    <w:p w14:paraId="0D82ACB2" w14:textId="77777777" w:rsidR="00AA378B" w:rsidRDefault="00AA378B" w:rsidP="00AA378B">
      <w:pPr>
        <w:pStyle w:val="paragraph"/>
        <w:numPr>
          <w:ilvl w:val="0"/>
          <w:numId w:val="1"/>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color w:val="000000"/>
          <w:sz w:val="22"/>
          <w:szCs w:val="22"/>
        </w:rPr>
        <w:t xml:space="preserve">Improve Ecosystems Services within the FRP woodlands </w:t>
      </w:r>
      <w:r>
        <w:rPr>
          <w:rStyle w:val="normaltextrun"/>
          <w:rFonts w:ascii="Calibri" w:hAnsi="Calibri" w:cs="Calibri"/>
          <w:sz w:val="22"/>
          <w:szCs w:val="22"/>
        </w:rPr>
        <w:t>as directed by:  </w:t>
      </w:r>
      <w:r>
        <w:rPr>
          <w:rStyle w:val="eop"/>
          <w:rFonts w:ascii="Calibri" w:hAnsi="Calibri" w:cs="Calibri"/>
          <w:sz w:val="22"/>
          <w:szCs w:val="22"/>
        </w:rPr>
        <w:t> </w:t>
      </w:r>
    </w:p>
    <w:p w14:paraId="6927CDE7" w14:textId="77777777" w:rsidR="00AA378B" w:rsidRDefault="008826D0" w:rsidP="00AA378B">
      <w:pPr>
        <w:pStyle w:val="paragraph"/>
        <w:numPr>
          <w:ilvl w:val="0"/>
          <w:numId w:val="2"/>
        </w:numPr>
        <w:tabs>
          <w:tab w:val="clear" w:pos="720"/>
        </w:tabs>
        <w:spacing w:before="0" w:beforeAutospacing="0" w:after="0" w:afterAutospacing="0"/>
        <w:ind w:left="1276" w:hanging="425"/>
        <w:jc w:val="both"/>
        <w:textAlignment w:val="baseline"/>
        <w:rPr>
          <w:rFonts w:ascii="Calibri" w:hAnsi="Calibri" w:cs="Calibri"/>
          <w:sz w:val="22"/>
          <w:szCs w:val="22"/>
        </w:rPr>
      </w:pPr>
      <w:hyperlink r:id="rId5" w:tgtFrame="_blank" w:history="1">
        <w:r w:rsidR="00AA378B">
          <w:rPr>
            <w:rStyle w:val="normaltextrun"/>
            <w:rFonts w:ascii="Calibri" w:hAnsi="Calibri" w:cs="Calibri"/>
            <w:color w:val="0563C1"/>
            <w:sz w:val="22"/>
            <w:szCs w:val="22"/>
            <w:u w:val="single"/>
          </w:rPr>
          <w:t>Natural Resources Wales: Purpose &amp; Role of the Welsh Government Woodland Estate</w:t>
        </w:r>
      </w:hyperlink>
      <w:r w:rsidR="00AA378B">
        <w:rPr>
          <w:rStyle w:val="normaltextrun"/>
          <w:rFonts w:ascii="Calibri" w:hAnsi="Calibri" w:cs="Calibri"/>
          <w:sz w:val="22"/>
          <w:szCs w:val="22"/>
        </w:rPr>
        <w:t>  – Key Priority 7. </w:t>
      </w:r>
      <w:r w:rsidR="00AA378B">
        <w:rPr>
          <w:rStyle w:val="eop"/>
          <w:rFonts w:ascii="Calibri" w:hAnsi="Calibri" w:cs="Calibri"/>
          <w:sz w:val="22"/>
          <w:szCs w:val="22"/>
        </w:rPr>
        <w:t> </w:t>
      </w:r>
    </w:p>
    <w:p w14:paraId="3712FB53" w14:textId="77777777" w:rsidR="00AA378B" w:rsidRDefault="008826D0" w:rsidP="00AA378B">
      <w:pPr>
        <w:pStyle w:val="paragraph"/>
        <w:numPr>
          <w:ilvl w:val="0"/>
          <w:numId w:val="3"/>
        </w:numPr>
        <w:tabs>
          <w:tab w:val="clear" w:pos="720"/>
        </w:tabs>
        <w:spacing w:before="0" w:beforeAutospacing="0" w:after="0" w:afterAutospacing="0"/>
        <w:ind w:left="1276" w:hanging="425"/>
        <w:jc w:val="both"/>
        <w:textAlignment w:val="baseline"/>
        <w:rPr>
          <w:rFonts w:ascii="Calibri" w:hAnsi="Calibri" w:cs="Calibri"/>
          <w:sz w:val="22"/>
          <w:szCs w:val="22"/>
        </w:rPr>
      </w:pPr>
      <w:hyperlink r:id="rId6" w:tgtFrame="_blank" w:history="1">
        <w:r w:rsidR="00AA378B">
          <w:rPr>
            <w:rStyle w:val="normaltextrun"/>
            <w:rFonts w:ascii="Calibri" w:hAnsi="Calibri" w:cs="Calibri"/>
            <w:color w:val="0563C1"/>
            <w:sz w:val="22"/>
            <w:szCs w:val="22"/>
            <w:u w:val="single"/>
          </w:rPr>
          <w:t>South Central Wales Area Statement</w:t>
        </w:r>
      </w:hyperlink>
      <w:r w:rsidR="00AA378B">
        <w:rPr>
          <w:rStyle w:val="normaltextrun"/>
          <w:rFonts w:ascii="Calibri" w:hAnsi="Calibri" w:cs="Calibri"/>
          <w:sz w:val="22"/>
          <w:szCs w:val="22"/>
        </w:rPr>
        <w:t xml:space="preserve"> – Improving our health </w:t>
      </w:r>
      <w:r w:rsidR="00AA378B">
        <w:rPr>
          <w:rStyle w:val="eop"/>
          <w:rFonts w:ascii="Calibri" w:hAnsi="Calibri" w:cs="Calibri"/>
          <w:sz w:val="22"/>
          <w:szCs w:val="22"/>
        </w:rPr>
        <w:t> </w:t>
      </w:r>
    </w:p>
    <w:p w14:paraId="6E4061E9" w14:textId="77777777" w:rsidR="00AA378B" w:rsidRDefault="008826D0" w:rsidP="00AA378B">
      <w:pPr>
        <w:pStyle w:val="paragraph"/>
        <w:numPr>
          <w:ilvl w:val="0"/>
          <w:numId w:val="4"/>
        </w:numPr>
        <w:tabs>
          <w:tab w:val="clear" w:pos="720"/>
        </w:tabs>
        <w:spacing w:before="0" w:beforeAutospacing="0" w:after="0" w:afterAutospacing="0"/>
        <w:ind w:left="1276" w:hanging="425"/>
        <w:jc w:val="both"/>
        <w:textAlignment w:val="baseline"/>
        <w:rPr>
          <w:rFonts w:ascii="Calibri" w:hAnsi="Calibri" w:cs="Calibri"/>
          <w:sz w:val="22"/>
          <w:szCs w:val="22"/>
        </w:rPr>
      </w:pPr>
      <w:hyperlink r:id="rId7" w:tgtFrame="_blank" w:history="1">
        <w:r w:rsidR="00AA378B">
          <w:rPr>
            <w:rStyle w:val="normaltextrun"/>
            <w:rFonts w:ascii="Calibri" w:hAnsi="Calibri" w:cs="Calibri"/>
            <w:color w:val="0563C1"/>
            <w:sz w:val="22"/>
            <w:szCs w:val="22"/>
            <w:u w:val="single"/>
          </w:rPr>
          <w:t>State of Natural Resources Report (</w:t>
        </w:r>
        <w:proofErr w:type="spellStart"/>
        <w:r w:rsidR="00AA378B">
          <w:rPr>
            <w:rStyle w:val="normaltextrun"/>
            <w:rFonts w:ascii="Calibri" w:hAnsi="Calibri" w:cs="Calibri"/>
            <w:color w:val="0563C1"/>
            <w:sz w:val="22"/>
            <w:szCs w:val="22"/>
            <w:u w:val="single"/>
          </w:rPr>
          <w:t>SoNaRR</w:t>
        </w:r>
        <w:proofErr w:type="spellEnd"/>
        <w:r w:rsidR="00AA378B">
          <w:rPr>
            <w:rStyle w:val="normaltextrun"/>
            <w:rFonts w:ascii="Calibri" w:hAnsi="Calibri" w:cs="Calibri"/>
            <w:color w:val="0563C1"/>
            <w:sz w:val="22"/>
            <w:szCs w:val="22"/>
            <w:u w:val="single"/>
          </w:rPr>
          <w:t>) for Wales 2020</w:t>
        </w:r>
      </w:hyperlink>
      <w:r w:rsidR="00AA378B">
        <w:rPr>
          <w:rStyle w:val="normaltextrun"/>
          <w:rFonts w:ascii="Calibri" w:hAnsi="Calibri" w:cs="Calibri"/>
          <w:sz w:val="22"/>
          <w:szCs w:val="22"/>
        </w:rPr>
        <w:t xml:space="preserve"> -  SMNR aim 3.  </w:t>
      </w:r>
      <w:r w:rsidR="00AA378B">
        <w:rPr>
          <w:rStyle w:val="eop"/>
          <w:rFonts w:ascii="Calibri" w:hAnsi="Calibri" w:cs="Calibri"/>
          <w:sz w:val="22"/>
          <w:szCs w:val="22"/>
        </w:rPr>
        <w:t> </w:t>
      </w:r>
    </w:p>
    <w:p w14:paraId="36F921C7" w14:textId="77777777" w:rsidR="00AA378B" w:rsidRDefault="00AA378B" w:rsidP="00AA378B">
      <w:pPr>
        <w:pStyle w:val="paragraph"/>
        <w:spacing w:before="0" w:beforeAutospacing="0" w:after="0" w:afterAutospacing="0"/>
        <w:ind w:left="851"/>
        <w:jc w:val="both"/>
        <w:textAlignment w:val="baseline"/>
        <w:rPr>
          <w:rFonts w:ascii="Calibri" w:hAnsi="Calibri" w:cs="Calibri"/>
          <w:sz w:val="22"/>
          <w:szCs w:val="22"/>
        </w:rPr>
      </w:pPr>
      <w:r>
        <w:rPr>
          <w:rStyle w:val="normaltextrun"/>
          <w:rFonts w:ascii="Calibri" w:hAnsi="Calibri" w:cs="Calibri"/>
          <w:sz w:val="22"/>
          <w:szCs w:val="22"/>
        </w:rPr>
        <w:t>This objective will be achieved by writing a Forest Resource Plan that complies with the UK Forestry Standard and UK Woodland Assurance Standard.  The subsequent forest operations and programmes of work are to be delivered safely and without adverse environmental impact.  Consultation and engagement with neighbours &amp; communities will improve relationships and knowledge on how and why the estate is managed, reduce conflict, encourage closer working relationships, and</w:t>
      </w:r>
      <w:r>
        <w:rPr>
          <w:rStyle w:val="normaltextrun"/>
          <w:rFonts w:ascii="Calibri" w:hAnsi="Calibri" w:cs="Calibri"/>
          <w:color w:val="000000"/>
          <w:sz w:val="22"/>
          <w:szCs w:val="22"/>
        </w:rPr>
        <w:t xml:space="preserve"> identify opportunities to improve health and wellbeing of communities and visitors</w:t>
      </w:r>
      <w:r>
        <w:rPr>
          <w:rStyle w:val="normaltextrun"/>
          <w:rFonts w:ascii="Calibri" w:hAnsi="Calibri" w:cs="Calibri"/>
          <w:sz w:val="22"/>
          <w:szCs w:val="22"/>
        </w:rPr>
        <w:t>. </w:t>
      </w:r>
      <w:r>
        <w:rPr>
          <w:rStyle w:val="normaltextrun"/>
          <w:rFonts w:ascii="Calibri" w:hAnsi="Calibri" w:cs="Calibri"/>
          <w:b/>
          <w:bCs/>
          <w:sz w:val="22"/>
          <w:szCs w:val="22"/>
        </w:rPr>
        <w:t xml:space="preserve">The mid-term review of the approved Forest Resource Plan must evaluate whether delivery was safe, </w:t>
      </w:r>
      <w:proofErr w:type="gramStart"/>
      <w:r>
        <w:rPr>
          <w:rStyle w:val="normaltextrun"/>
          <w:rFonts w:ascii="Calibri" w:hAnsi="Calibri" w:cs="Calibri"/>
          <w:b/>
          <w:bCs/>
          <w:sz w:val="22"/>
          <w:szCs w:val="22"/>
        </w:rPr>
        <w:t>clean</w:t>
      </w:r>
      <w:proofErr w:type="gramEnd"/>
      <w:r>
        <w:rPr>
          <w:rStyle w:val="normaltextrun"/>
          <w:rFonts w:ascii="Calibri" w:hAnsi="Calibri" w:cs="Calibri"/>
          <w:b/>
          <w:bCs/>
          <w:sz w:val="22"/>
          <w:szCs w:val="22"/>
        </w:rPr>
        <w:t xml:space="preserve"> and efficient and whether the Opportunities Map enabled additional work in the forest. </w:t>
      </w:r>
      <w:r>
        <w:rPr>
          <w:rStyle w:val="normaltextrun"/>
          <w:rFonts w:ascii="Calibri" w:hAnsi="Calibri" w:cs="Calibri"/>
          <w:sz w:val="22"/>
          <w:szCs w:val="22"/>
        </w:rPr>
        <w:t>  </w:t>
      </w:r>
      <w:r>
        <w:rPr>
          <w:rStyle w:val="eop"/>
          <w:rFonts w:ascii="Calibri" w:hAnsi="Calibri" w:cs="Calibri"/>
          <w:sz w:val="22"/>
          <w:szCs w:val="22"/>
        </w:rPr>
        <w:t> </w:t>
      </w:r>
    </w:p>
    <w:p w14:paraId="0E91AC22" w14:textId="77777777" w:rsidR="00AA378B" w:rsidRDefault="00AA378B" w:rsidP="00AA378B">
      <w:pPr>
        <w:pStyle w:val="paragraph"/>
        <w:numPr>
          <w:ilvl w:val="0"/>
          <w:numId w:val="5"/>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sz w:val="22"/>
          <w:szCs w:val="22"/>
        </w:rPr>
        <w:t>Evolve the forest structure to buffer against possible</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 xml:space="preserve">safety, </w:t>
      </w:r>
      <w:proofErr w:type="gramStart"/>
      <w:r>
        <w:rPr>
          <w:rStyle w:val="normaltextrun"/>
          <w:rFonts w:ascii="Calibri" w:hAnsi="Calibri" w:cs="Calibri"/>
          <w:b/>
          <w:bCs/>
          <w:color w:val="000000"/>
          <w:sz w:val="22"/>
          <w:szCs w:val="22"/>
        </w:rPr>
        <w:t>pollution</w:t>
      </w:r>
      <w:proofErr w:type="gramEnd"/>
      <w:r>
        <w:rPr>
          <w:rStyle w:val="normaltextrun"/>
          <w:rFonts w:ascii="Calibri" w:hAnsi="Calibri" w:cs="Calibri"/>
          <w:b/>
          <w:bCs/>
          <w:color w:val="000000"/>
          <w:sz w:val="22"/>
          <w:szCs w:val="22"/>
        </w:rPr>
        <w:t xml:space="preserve"> and tree health issues </w:t>
      </w:r>
      <w:r>
        <w:rPr>
          <w:rStyle w:val="normaltextrun"/>
          <w:rFonts w:ascii="Calibri" w:hAnsi="Calibri" w:cs="Calibri"/>
          <w:color w:val="000000"/>
          <w:sz w:val="22"/>
          <w:szCs w:val="22"/>
        </w:rPr>
        <w:t>su</w:t>
      </w:r>
      <w:r>
        <w:rPr>
          <w:rStyle w:val="normaltextrun"/>
          <w:rFonts w:ascii="Calibri" w:hAnsi="Calibri" w:cs="Calibri"/>
          <w:sz w:val="22"/>
          <w:szCs w:val="22"/>
        </w:rPr>
        <w:t xml:space="preserve">ch as hazardous trees, and riparian buffer zones.  The Indicative Woodland Type map will promote species diversity when restocking and the implemented Forest Management Systems map will drive programmes for removing liabilities such as Larch infected with Phytophthora Ramorum, hazardous trees adjacent to recreation facilities and improving light conditions in riparian buffer zones.  </w:t>
      </w:r>
      <w:r>
        <w:rPr>
          <w:rStyle w:val="normaltextrun"/>
          <w:rFonts w:ascii="Calibri" w:hAnsi="Calibri" w:cs="Calibri"/>
          <w:b/>
          <w:bCs/>
          <w:sz w:val="22"/>
          <w:szCs w:val="22"/>
        </w:rPr>
        <w:t xml:space="preserve">5-year monitoring of habitat &amp; species composition from the </w:t>
      </w:r>
      <w:proofErr w:type="spellStart"/>
      <w:r>
        <w:rPr>
          <w:rStyle w:val="normaltextrun"/>
          <w:rFonts w:ascii="Calibri" w:hAnsi="Calibri" w:cs="Calibri"/>
          <w:b/>
          <w:bCs/>
          <w:sz w:val="22"/>
          <w:szCs w:val="22"/>
        </w:rPr>
        <w:t>subcompartment</w:t>
      </w:r>
      <w:proofErr w:type="spellEnd"/>
      <w:r>
        <w:rPr>
          <w:rStyle w:val="normaltextrun"/>
          <w:rFonts w:ascii="Calibri" w:hAnsi="Calibri" w:cs="Calibri"/>
          <w:b/>
          <w:bCs/>
          <w:sz w:val="22"/>
          <w:szCs w:val="22"/>
        </w:rPr>
        <w:t xml:space="preserve"> database.</w:t>
      </w:r>
      <w:r>
        <w:rPr>
          <w:rStyle w:val="normaltextrun"/>
          <w:rFonts w:ascii="Calibri" w:hAnsi="Calibri" w:cs="Calibri"/>
          <w:sz w:val="22"/>
          <w:szCs w:val="22"/>
        </w:rPr>
        <w:t>  </w:t>
      </w:r>
      <w:r>
        <w:rPr>
          <w:rStyle w:val="eop"/>
          <w:rFonts w:ascii="Calibri" w:hAnsi="Calibri" w:cs="Calibri"/>
          <w:sz w:val="22"/>
          <w:szCs w:val="22"/>
        </w:rPr>
        <w:t> </w:t>
      </w:r>
    </w:p>
    <w:p w14:paraId="058549DB" w14:textId="77777777" w:rsidR="00AA378B" w:rsidRDefault="00AA378B" w:rsidP="00AA378B">
      <w:pPr>
        <w:pStyle w:val="paragraph"/>
        <w:numPr>
          <w:ilvl w:val="0"/>
          <w:numId w:val="6"/>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sz w:val="22"/>
          <w:szCs w:val="22"/>
        </w:rPr>
        <w:t>Maintain and</w:t>
      </w:r>
      <w:r>
        <w:rPr>
          <w:rStyle w:val="normaltextrun"/>
          <w:rFonts w:ascii="Calibri" w:hAnsi="Calibri" w:cs="Calibri"/>
          <w:color w:val="000000"/>
          <w:sz w:val="22"/>
          <w:szCs w:val="22"/>
        </w:rPr>
        <w:t xml:space="preserve"> enhance the </w:t>
      </w:r>
      <w:r>
        <w:rPr>
          <w:rStyle w:val="normaltextrun"/>
          <w:rFonts w:ascii="Calibri" w:hAnsi="Calibri" w:cs="Calibri"/>
          <w:b/>
          <w:bCs/>
          <w:color w:val="000000"/>
          <w:sz w:val="22"/>
          <w:szCs w:val="22"/>
        </w:rPr>
        <w:t>landscape value</w:t>
      </w:r>
      <w:r>
        <w:rPr>
          <w:rStyle w:val="normaltextrun"/>
          <w:rFonts w:ascii="Calibri" w:hAnsi="Calibri" w:cs="Calibri"/>
          <w:color w:val="000000"/>
          <w:sz w:val="22"/>
          <w:szCs w:val="22"/>
        </w:rPr>
        <w:t xml:space="preserve"> of the forest, and ensure that </w:t>
      </w:r>
      <w:r>
        <w:rPr>
          <w:rStyle w:val="normaltextrun"/>
          <w:rFonts w:ascii="Calibri" w:hAnsi="Calibri" w:cs="Calibri"/>
          <w:b/>
          <w:bCs/>
          <w:color w:val="000000"/>
          <w:sz w:val="22"/>
          <w:szCs w:val="22"/>
        </w:rPr>
        <w:t>recreation facilities,</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cultural heritage features are not adversely impacted</w:t>
      </w:r>
      <w:r>
        <w:rPr>
          <w:rStyle w:val="normaltextrun"/>
          <w:rFonts w:ascii="Calibri" w:hAnsi="Calibri" w:cs="Calibri"/>
          <w:b/>
          <w:bCs/>
          <w:color w:val="FF0000"/>
          <w:sz w:val="22"/>
          <w:szCs w:val="22"/>
        </w:rPr>
        <w:t>.</w:t>
      </w:r>
      <w:r>
        <w:rPr>
          <w:rStyle w:val="normaltextrun"/>
          <w:rFonts w:ascii="Calibri" w:hAnsi="Calibri" w:cs="Calibri"/>
          <w:sz w:val="22"/>
          <w:szCs w:val="22"/>
        </w:rPr>
        <w:t xml:space="preserve">  </w:t>
      </w:r>
      <w:r>
        <w:rPr>
          <w:rStyle w:val="normaltextrun"/>
          <w:rFonts w:ascii="Calibri" w:hAnsi="Calibri" w:cs="Calibri"/>
          <w:b/>
          <w:bCs/>
          <w:sz w:val="22"/>
          <w:szCs w:val="22"/>
        </w:rPr>
        <w:t xml:space="preserve">5-year monitoring of clear-fell and restocking implementation in the </w:t>
      </w:r>
      <w:proofErr w:type="spellStart"/>
      <w:r>
        <w:rPr>
          <w:rStyle w:val="normaltextrun"/>
          <w:rFonts w:ascii="Calibri" w:hAnsi="Calibri" w:cs="Calibri"/>
          <w:b/>
          <w:bCs/>
          <w:sz w:val="22"/>
          <w:szCs w:val="22"/>
        </w:rPr>
        <w:t>subcompartment</w:t>
      </w:r>
      <w:proofErr w:type="spellEnd"/>
      <w:r>
        <w:rPr>
          <w:rStyle w:val="normaltextrun"/>
          <w:rFonts w:ascii="Calibri" w:hAnsi="Calibri" w:cs="Calibri"/>
          <w:b/>
          <w:bCs/>
          <w:sz w:val="22"/>
          <w:szCs w:val="22"/>
        </w:rPr>
        <w:t xml:space="preserve"> database against the Forest</w:t>
      </w:r>
      <w:r>
        <w:rPr>
          <w:rStyle w:val="normaltextrun"/>
          <w:rFonts w:ascii="Calibri" w:hAnsi="Calibri" w:cs="Calibri"/>
          <w:sz w:val="22"/>
          <w:szCs w:val="22"/>
        </w:rPr>
        <w:t> </w:t>
      </w:r>
      <w:r>
        <w:rPr>
          <w:rStyle w:val="eop"/>
          <w:rFonts w:ascii="Calibri" w:hAnsi="Calibri" w:cs="Calibri"/>
          <w:sz w:val="22"/>
          <w:szCs w:val="22"/>
        </w:rPr>
        <w:t> </w:t>
      </w:r>
    </w:p>
    <w:p w14:paraId="656EFE32" w14:textId="77777777" w:rsidR="00AA378B" w:rsidRDefault="00AA378B" w:rsidP="00AA378B">
      <w:pPr>
        <w:pStyle w:val="paragraph"/>
        <w:numPr>
          <w:ilvl w:val="0"/>
          <w:numId w:val="7"/>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b/>
          <w:bCs/>
          <w:color w:val="000000"/>
          <w:sz w:val="22"/>
          <w:szCs w:val="22"/>
        </w:rPr>
        <w:t>Reduce the risk of wildfires</w:t>
      </w:r>
      <w:r>
        <w:rPr>
          <w:rStyle w:val="normaltextrun"/>
          <w:rFonts w:ascii="Calibri" w:hAnsi="Calibri" w:cs="Calibri"/>
          <w:color w:val="000000"/>
          <w:sz w:val="22"/>
          <w:szCs w:val="22"/>
        </w:rPr>
        <w:t xml:space="preserve"> </w:t>
      </w:r>
      <w:r>
        <w:rPr>
          <w:rStyle w:val="normaltextrun"/>
          <w:rFonts w:ascii="Calibri" w:hAnsi="Calibri" w:cs="Calibri"/>
          <w:sz w:val="22"/>
          <w:szCs w:val="22"/>
        </w:rPr>
        <w:t>by planning and delivering appropriate fire control measures</w:t>
      </w:r>
      <w:r>
        <w:rPr>
          <w:rStyle w:val="normaltextrun"/>
          <w:rFonts w:ascii="Calibri" w:hAnsi="Calibri" w:cs="Calibri"/>
          <w:color w:val="FF0000"/>
          <w:sz w:val="22"/>
          <w:szCs w:val="22"/>
        </w:rPr>
        <w:t xml:space="preserve"> </w:t>
      </w:r>
      <w:r>
        <w:rPr>
          <w:rStyle w:val="normaltextrun"/>
          <w:rFonts w:ascii="Calibri" w:hAnsi="Calibri" w:cs="Calibri"/>
          <w:sz w:val="22"/>
          <w:szCs w:val="22"/>
        </w:rPr>
        <w:t xml:space="preserve">during and after operations, such as creating and managing fire breaks around restock areas and open areas and working with South Wales Fire Service to plan and implement measures on the estate. </w:t>
      </w:r>
      <w:r>
        <w:rPr>
          <w:rStyle w:val="normaltextrun"/>
          <w:rFonts w:ascii="Calibri" w:hAnsi="Calibri" w:cs="Calibri"/>
          <w:b/>
          <w:bCs/>
          <w:sz w:val="22"/>
          <w:szCs w:val="22"/>
        </w:rPr>
        <w:t>The instances of fire in these woodlands will be reviewed at the mid-point of plan implementation.</w:t>
      </w:r>
      <w:r>
        <w:rPr>
          <w:rStyle w:val="normaltextrun"/>
          <w:rFonts w:ascii="Calibri" w:hAnsi="Calibri" w:cs="Calibri"/>
          <w:sz w:val="22"/>
          <w:szCs w:val="22"/>
        </w:rPr>
        <w:t xml:space="preserve">  </w:t>
      </w:r>
      <w:r>
        <w:rPr>
          <w:rStyle w:val="eop"/>
          <w:rFonts w:ascii="Calibri" w:hAnsi="Calibri" w:cs="Calibri"/>
          <w:sz w:val="22"/>
          <w:szCs w:val="22"/>
        </w:rPr>
        <w:t> </w:t>
      </w:r>
    </w:p>
    <w:p w14:paraId="6E1AA15F" w14:textId="77777777" w:rsidR="00AA378B" w:rsidRDefault="00AA378B" w:rsidP="00AA378B">
      <w:pPr>
        <w:pStyle w:val="paragraph"/>
        <w:numPr>
          <w:ilvl w:val="0"/>
          <w:numId w:val="8"/>
        </w:numPr>
        <w:tabs>
          <w:tab w:val="clear" w:pos="720"/>
        </w:tabs>
        <w:spacing w:before="0" w:beforeAutospacing="0" w:after="0" w:afterAutospacing="0"/>
        <w:ind w:left="851" w:hanging="415"/>
        <w:jc w:val="both"/>
        <w:textAlignment w:val="baseline"/>
        <w:rPr>
          <w:rFonts w:ascii="Segoe UI" w:hAnsi="Segoe UI" w:cs="Segoe UI"/>
          <w:sz w:val="22"/>
          <w:szCs w:val="22"/>
        </w:rPr>
      </w:pPr>
      <w:r>
        <w:rPr>
          <w:rStyle w:val="normaltextrun"/>
          <w:rFonts w:ascii="Calibri" w:hAnsi="Calibri" w:cs="Calibri"/>
          <w:b/>
          <w:bCs/>
          <w:color w:val="000000"/>
          <w:sz w:val="22"/>
          <w:szCs w:val="22"/>
        </w:rPr>
        <w:t>Maintain and build ecosystem resilience as directed by:</w:t>
      </w:r>
      <w:r>
        <w:rPr>
          <w:rStyle w:val="eop"/>
          <w:rFonts w:ascii="Calibri" w:hAnsi="Calibri" w:cs="Calibri"/>
          <w:color w:val="000000"/>
          <w:sz w:val="22"/>
          <w:szCs w:val="22"/>
        </w:rPr>
        <w:t> </w:t>
      </w:r>
    </w:p>
    <w:p w14:paraId="0EADB838" w14:textId="77777777" w:rsidR="00AA378B" w:rsidRDefault="00AA378B" w:rsidP="00AA378B">
      <w:pPr>
        <w:pStyle w:val="paragraph"/>
        <w:numPr>
          <w:ilvl w:val="0"/>
          <w:numId w:val="9"/>
        </w:numPr>
        <w:tabs>
          <w:tab w:val="clear" w:pos="720"/>
        </w:tabs>
        <w:spacing w:before="0" w:beforeAutospacing="0" w:after="0" w:afterAutospacing="0"/>
        <w:ind w:left="851" w:hanging="415"/>
        <w:jc w:val="both"/>
        <w:textAlignment w:val="baseline"/>
        <w:rPr>
          <w:rFonts w:ascii="Segoe UI" w:hAnsi="Segoe UI" w:cs="Segoe UI"/>
          <w:sz w:val="22"/>
          <w:szCs w:val="22"/>
        </w:rPr>
      </w:pPr>
      <w:r>
        <w:rPr>
          <w:rStyle w:val="normaltextrun"/>
          <w:rFonts w:ascii="Calibri" w:hAnsi="Calibri" w:cs="Calibri"/>
          <w:sz w:val="22"/>
          <w:szCs w:val="22"/>
        </w:rPr>
        <w:t xml:space="preserve">South Central Wales Area Statement - </w:t>
      </w:r>
      <w:hyperlink r:id="rId8" w:tgtFrame="_blank" w:history="1">
        <w:r>
          <w:rPr>
            <w:rStyle w:val="normaltextrun"/>
            <w:rFonts w:ascii="Calibri" w:hAnsi="Calibri" w:cs="Calibri"/>
            <w:color w:val="0563C1"/>
            <w:sz w:val="22"/>
            <w:szCs w:val="22"/>
            <w:u w:val="single"/>
          </w:rPr>
          <w:t>Building Resilient Ecosystems</w:t>
        </w:r>
      </w:hyperlink>
      <w:r>
        <w:rPr>
          <w:rStyle w:val="normaltextrun"/>
          <w:rFonts w:ascii="Calibri" w:hAnsi="Calibri" w:cs="Calibri"/>
          <w:sz w:val="22"/>
          <w:szCs w:val="22"/>
        </w:rPr>
        <w:t>, particularly the grasslands and woodlands ecosystem profiles and Resilient Ecological Networks</w:t>
      </w:r>
      <w:r>
        <w:rPr>
          <w:rStyle w:val="eop"/>
          <w:rFonts w:ascii="Calibri" w:hAnsi="Calibri" w:cs="Calibri"/>
          <w:sz w:val="22"/>
          <w:szCs w:val="22"/>
        </w:rPr>
        <w:t> </w:t>
      </w:r>
    </w:p>
    <w:p w14:paraId="3980F5D1" w14:textId="77777777" w:rsidR="00AA378B" w:rsidRDefault="00AA378B" w:rsidP="00AA378B">
      <w:pPr>
        <w:pStyle w:val="paragraph"/>
        <w:numPr>
          <w:ilvl w:val="0"/>
          <w:numId w:val="10"/>
        </w:numPr>
        <w:tabs>
          <w:tab w:val="clear" w:pos="720"/>
        </w:tabs>
        <w:spacing w:before="0" w:beforeAutospacing="0" w:after="0" w:afterAutospacing="0"/>
        <w:ind w:left="851" w:hanging="415"/>
        <w:jc w:val="both"/>
        <w:textAlignment w:val="baseline"/>
        <w:rPr>
          <w:rFonts w:ascii="Segoe UI" w:hAnsi="Segoe UI" w:cs="Segoe UI"/>
          <w:sz w:val="22"/>
          <w:szCs w:val="22"/>
        </w:rPr>
      </w:pPr>
      <w:r>
        <w:rPr>
          <w:rStyle w:val="normaltextrun"/>
          <w:rFonts w:ascii="Calibri" w:hAnsi="Calibri" w:cs="Calibri"/>
          <w:b/>
          <w:bCs/>
          <w:color w:val="000000"/>
          <w:sz w:val="22"/>
          <w:szCs w:val="22"/>
        </w:rPr>
        <w:t>(Environment (Wales) Act 2016) Section 7 priority habitats and protected species</w:t>
      </w:r>
      <w:r>
        <w:rPr>
          <w:rStyle w:val="normaltextrun"/>
          <w:rFonts w:ascii="Calibri" w:hAnsi="Calibri" w:cs="Calibri"/>
          <w:color w:val="000000"/>
          <w:sz w:val="22"/>
          <w:szCs w:val="22"/>
        </w:rPr>
        <w:t>, such as ancient semi-natural woodlands, Dormice and Schedule 1 birds. opportunities to improve and expand natural hab</w:t>
      </w:r>
      <w:r>
        <w:rPr>
          <w:rStyle w:val="normaltextrun"/>
          <w:rFonts w:ascii="Calibri" w:hAnsi="Calibri" w:cs="Calibri"/>
          <w:sz w:val="22"/>
          <w:szCs w:val="22"/>
        </w:rPr>
        <w:t xml:space="preserve">itats and </w:t>
      </w:r>
      <w:proofErr w:type="gramStart"/>
      <w:r>
        <w:rPr>
          <w:rStyle w:val="normaltextrun"/>
          <w:rFonts w:ascii="Calibri" w:hAnsi="Calibri" w:cs="Calibri"/>
          <w:sz w:val="22"/>
          <w:szCs w:val="22"/>
        </w:rPr>
        <w:t>habitat</w:t>
      </w:r>
      <w:proofErr w:type="gramEnd"/>
      <w:r>
        <w:rPr>
          <w:rStyle w:val="normaltextrun"/>
          <w:rFonts w:ascii="Calibri" w:hAnsi="Calibri" w:cs="Calibri"/>
          <w:sz w:val="22"/>
          <w:szCs w:val="22"/>
        </w:rPr>
        <w:t xml:space="preserve"> for protected species will be mapped for future resource planning. </w:t>
      </w:r>
      <w:r>
        <w:rPr>
          <w:rStyle w:val="eop"/>
          <w:rFonts w:ascii="Calibri" w:hAnsi="Calibri" w:cs="Calibri"/>
          <w:sz w:val="22"/>
          <w:szCs w:val="22"/>
        </w:rPr>
        <w:t> </w:t>
      </w:r>
    </w:p>
    <w:p w14:paraId="2363129E" w14:textId="77777777" w:rsidR="00AA378B" w:rsidRDefault="008826D0" w:rsidP="00AA378B">
      <w:pPr>
        <w:pStyle w:val="paragraph"/>
        <w:numPr>
          <w:ilvl w:val="0"/>
          <w:numId w:val="11"/>
        </w:numPr>
        <w:tabs>
          <w:tab w:val="clear" w:pos="720"/>
        </w:tabs>
        <w:spacing w:before="0" w:beforeAutospacing="0" w:after="0" w:afterAutospacing="0"/>
        <w:ind w:left="851" w:hanging="415"/>
        <w:jc w:val="both"/>
        <w:textAlignment w:val="baseline"/>
        <w:rPr>
          <w:rFonts w:ascii="Segoe UI" w:hAnsi="Segoe UI" w:cs="Segoe UI"/>
          <w:sz w:val="22"/>
          <w:szCs w:val="22"/>
        </w:rPr>
      </w:pPr>
      <w:hyperlink r:id="rId9" w:tgtFrame="_blank" w:history="1">
        <w:r w:rsidR="00AA378B">
          <w:rPr>
            <w:rStyle w:val="normaltextrun"/>
            <w:rFonts w:ascii="Calibri" w:hAnsi="Calibri" w:cs="Calibri"/>
            <w:color w:val="0563C1"/>
            <w:sz w:val="22"/>
            <w:szCs w:val="22"/>
            <w:u w:val="single"/>
          </w:rPr>
          <w:t>State of Natural Resources Report (</w:t>
        </w:r>
        <w:proofErr w:type="spellStart"/>
        <w:r w:rsidR="00AA378B">
          <w:rPr>
            <w:rStyle w:val="normaltextrun"/>
            <w:rFonts w:ascii="Calibri" w:hAnsi="Calibri" w:cs="Calibri"/>
            <w:color w:val="0563C1"/>
            <w:sz w:val="22"/>
            <w:szCs w:val="22"/>
            <w:u w:val="single"/>
          </w:rPr>
          <w:t>SoNaRR</w:t>
        </w:r>
        <w:proofErr w:type="spellEnd"/>
        <w:r w:rsidR="00AA378B">
          <w:rPr>
            <w:rStyle w:val="normaltextrun"/>
            <w:rFonts w:ascii="Calibri" w:hAnsi="Calibri" w:cs="Calibri"/>
            <w:color w:val="0563C1"/>
            <w:sz w:val="22"/>
            <w:szCs w:val="22"/>
            <w:u w:val="single"/>
          </w:rPr>
          <w:t>) for Wales 2020</w:t>
        </w:r>
      </w:hyperlink>
      <w:r w:rsidR="00AA378B">
        <w:rPr>
          <w:rStyle w:val="normaltextrun"/>
          <w:rFonts w:ascii="Calibri" w:hAnsi="Calibri" w:cs="Calibri"/>
          <w:sz w:val="22"/>
          <w:szCs w:val="22"/>
        </w:rPr>
        <w:t xml:space="preserve"> -  SMNR aims 1 &amp; 2.  </w:t>
      </w:r>
      <w:r w:rsidR="00AA378B">
        <w:rPr>
          <w:rStyle w:val="eop"/>
          <w:rFonts w:ascii="Calibri" w:hAnsi="Calibri" w:cs="Calibri"/>
          <w:sz w:val="22"/>
          <w:szCs w:val="22"/>
        </w:rPr>
        <w:t> </w:t>
      </w:r>
    </w:p>
    <w:p w14:paraId="2ACDFA03" w14:textId="77777777" w:rsidR="00AA378B" w:rsidRDefault="00AA378B" w:rsidP="00AA378B">
      <w:pPr>
        <w:pStyle w:val="paragraph"/>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b/>
          <w:bCs/>
          <w:color w:val="000000"/>
          <w:sz w:val="22"/>
          <w:szCs w:val="22"/>
        </w:rPr>
        <w:t>This objective will be achieved by the</w:t>
      </w:r>
      <w:r>
        <w:rPr>
          <w:rStyle w:val="normaltextrun"/>
          <w:rFonts w:ascii="Calibri" w:hAnsi="Calibri" w:cs="Calibri"/>
          <w:sz w:val="22"/>
          <w:szCs w:val="22"/>
        </w:rPr>
        <w:t xml:space="preserve"> implemented Forest Management Systems and Indicative Woodland Type maps driving programmes for thinning and open space maintenance in sites where the most positive impact for biodiversity can be achieved.  </w:t>
      </w:r>
      <w:r>
        <w:rPr>
          <w:rStyle w:val="normaltextrun"/>
          <w:rFonts w:ascii="Calibri" w:hAnsi="Calibri" w:cs="Calibri"/>
          <w:b/>
          <w:bCs/>
          <w:sz w:val="22"/>
          <w:szCs w:val="22"/>
        </w:rPr>
        <w:t xml:space="preserve">5-year monitoring of habitat &amp; species composition from the </w:t>
      </w:r>
      <w:proofErr w:type="spellStart"/>
      <w:r>
        <w:rPr>
          <w:rStyle w:val="normaltextrun"/>
          <w:rFonts w:ascii="Calibri" w:hAnsi="Calibri" w:cs="Calibri"/>
          <w:b/>
          <w:bCs/>
          <w:sz w:val="22"/>
          <w:szCs w:val="22"/>
        </w:rPr>
        <w:t>subcompartment</w:t>
      </w:r>
      <w:proofErr w:type="spellEnd"/>
      <w:r>
        <w:rPr>
          <w:rStyle w:val="normaltextrun"/>
          <w:rFonts w:ascii="Calibri" w:hAnsi="Calibri" w:cs="Calibri"/>
          <w:b/>
          <w:bCs/>
          <w:sz w:val="22"/>
          <w:szCs w:val="22"/>
        </w:rPr>
        <w:t xml:space="preserve"> database, completed thinning and clear-felling records with comparisons to production forecast data.  Records of habitat improvement works on Ancient Semi Natural Woodland and Plantations on Ancient Woodland sites with subsequent monitoring on site.  </w:t>
      </w:r>
      <w:r>
        <w:rPr>
          <w:rStyle w:val="normaltextrun"/>
          <w:rFonts w:ascii="Calibri" w:hAnsi="Calibri" w:cs="Calibri"/>
          <w:sz w:val="22"/>
          <w:szCs w:val="22"/>
        </w:rPr>
        <w:t> </w:t>
      </w:r>
      <w:r>
        <w:rPr>
          <w:rStyle w:val="eop"/>
          <w:rFonts w:ascii="Calibri" w:hAnsi="Calibri" w:cs="Calibri"/>
          <w:sz w:val="22"/>
          <w:szCs w:val="22"/>
        </w:rPr>
        <w:t> </w:t>
      </w:r>
    </w:p>
    <w:p w14:paraId="3AFD0AEC" w14:textId="77777777" w:rsidR="00AA378B" w:rsidRDefault="00AA378B" w:rsidP="00AA378B">
      <w:pPr>
        <w:pStyle w:val="paragraph"/>
        <w:numPr>
          <w:ilvl w:val="0"/>
          <w:numId w:val="12"/>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color w:val="000000"/>
          <w:sz w:val="22"/>
          <w:szCs w:val="22"/>
        </w:rPr>
        <w:lastRenderedPageBreak/>
        <w:t xml:space="preserve">Forestry management should not contribute to the existing level of flood risk both within the woodlands and anywhere offsite and where possible, measures should be implemented to reduce any potential risk of flooding; both are to be achieved through good forestry practice in accordance with the latest UK Forestry Standard and relevant forestry guidance; and through consultation and engagement with the relevant Lead Local Flood Authority during planning of felling operations. </w:t>
      </w:r>
      <w:r>
        <w:rPr>
          <w:rStyle w:val="normaltextrun"/>
          <w:rFonts w:ascii="Calibri" w:hAnsi="Calibri" w:cs="Calibri"/>
          <w:sz w:val="22"/>
          <w:szCs w:val="22"/>
        </w:rPr>
        <w:t>Consider measures to retain water on site for as long as possible, and opportunities for Natural Flood Management where appropriate.</w:t>
      </w:r>
      <w:r>
        <w:rPr>
          <w:rStyle w:val="normaltextrun"/>
          <w:rFonts w:ascii="Arial" w:hAnsi="Arial" w:cs="Arial"/>
          <w:color w:val="000000"/>
        </w:rPr>
        <w:t xml:space="preserve"> </w:t>
      </w:r>
      <w:r>
        <w:rPr>
          <w:rStyle w:val="normaltextrun"/>
          <w:rFonts w:ascii="Calibri" w:hAnsi="Calibri" w:cs="Calibri"/>
          <w:b/>
          <w:bCs/>
          <w:sz w:val="22"/>
          <w:szCs w:val="22"/>
        </w:rPr>
        <w:t xml:space="preserve">5-year monitoring of clear-fell and restocking implementation in the </w:t>
      </w:r>
      <w:proofErr w:type="spellStart"/>
      <w:r>
        <w:rPr>
          <w:rStyle w:val="normaltextrun"/>
          <w:rFonts w:ascii="Calibri" w:hAnsi="Calibri" w:cs="Calibri"/>
          <w:b/>
          <w:bCs/>
          <w:sz w:val="22"/>
          <w:szCs w:val="22"/>
        </w:rPr>
        <w:t>subcompartment</w:t>
      </w:r>
      <w:proofErr w:type="spellEnd"/>
      <w:r>
        <w:rPr>
          <w:rStyle w:val="normaltextrun"/>
          <w:rFonts w:ascii="Calibri" w:hAnsi="Calibri" w:cs="Calibri"/>
          <w:b/>
          <w:bCs/>
          <w:sz w:val="22"/>
          <w:szCs w:val="22"/>
        </w:rPr>
        <w:t xml:space="preserve"> database against the Forest</w:t>
      </w:r>
      <w:r>
        <w:rPr>
          <w:rStyle w:val="normaltextrun"/>
          <w:rFonts w:ascii="Calibri" w:hAnsi="Calibri" w:cs="Calibri"/>
          <w:sz w:val="22"/>
          <w:szCs w:val="22"/>
        </w:rPr>
        <w:t> </w:t>
      </w:r>
      <w:r>
        <w:rPr>
          <w:rStyle w:val="eop"/>
          <w:rFonts w:ascii="Calibri" w:hAnsi="Calibri" w:cs="Calibri"/>
          <w:sz w:val="22"/>
          <w:szCs w:val="22"/>
        </w:rPr>
        <w:t> </w:t>
      </w:r>
    </w:p>
    <w:p w14:paraId="1898E4AA" w14:textId="77777777" w:rsidR="00AA378B" w:rsidRDefault="00AA378B" w:rsidP="00AA378B">
      <w:pPr>
        <w:pStyle w:val="paragraph"/>
        <w:numPr>
          <w:ilvl w:val="0"/>
          <w:numId w:val="13"/>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sz w:val="22"/>
          <w:szCs w:val="22"/>
        </w:rPr>
        <w:t>Forestry Management should not cause any reduction in water quality both within on-site features and watercourses draining off-site through good forestry practice in accordance with</w:t>
      </w:r>
      <w:r>
        <w:rPr>
          <w:rStyle w:val="normaltextrun"/>
          <w:rFonts w:ascii="Arial" w:hAnsi="Arial" w:cs="Arial"/>
        </w:rPr>
        <w:t xml:space="preserve"> </w:t>
      </w:r>
      <w:r>
        <w:rPr>
          <w:rStyle w:val="normaltextrun"/>
          <w:rFonts w:ascii="Calibri" w:hAnsi="Calibri" w:cs="Calibri"/>
          <w:sz w:val="22"/>
          <w:szCs w:val="22"/>
        </w:rPr>
        <w:t>the latest UK Forestry Standard and relevant forestry guidance.</w:t>
      </w:r>
      <w:r>
        <w:rPr>
          <w:rStyle w:val="eop"/>
          <w:rFonts w:ascii="Calibri" w:hAnsi="Calibri" w:cs="Calibri"/>
          <w:sz w:val="22"/>
          <w:szCs w:val="22"/>
        </w:rPr>
        <w:t> </w:t>
      </w:r>
    </w:p>
    <w:p w14:paraId="3C891AEF" w14:textId="77777777" w:rsidR="00AA378B" w:rsidRDefault="00AA378B" w:rsidP="00AA378B">
      <w:pPr>
        <w:pStyle w:val="paragraph"/>
        <w:numPr>
          <w:ilvl w:val="0"/>
          <w:numId w:val="14"/>
        </w:numPr>
        <w:tabs>
          <w:tab w:val="clear" w:pos="720"/>
        </w:tabs>
        <w:spacing w:before="0" w:beforeAutospacing="0" w:after="0" w:afterAutospacing="0"/>
        <w:ind w:left="851" w:hanging="415"/>
        <w:jc w:val="both"/>
        <w:textAlignment w:val="baseline"/>
        <w:rPr>
          <w:rFonts w:ascii="Calibri" w:hAnsi="Calibri" w:cs="Calibri"/>
          <w:sz w:val="22"/>
          <w:szCs w:val="22"/>
        </w:rPr>
      </w:pPr>
      <w:r>
        <w:rPr>
          <w:rStyle w:val="normaltextrun"/>
          <w:rFonts w:ascii="Calibri" w:hAnsi="Calibri" w:cs="Calibri"/>
          <w:sz w:val="22"/>
          <w:szCs w:val="22"/>
        </w:rPr>
        <w:t>Maintai</w:t>
      </w:r>
      <w:r>
        <w:rPr>
          <w:rStyle w:val="normaltextrun"/>
          <w:rFonts w:ascii="Calibri" w:hAnsi="Calibri" w:cs="Calibri"/>
          <w:color w:val="000000"/>
          <w:sz w:val="22"/>
          <w:szCs w:val="22"/>
        </w:rPr>
        <w:t xml:space="preserve">n a </w:t>
      </w:r>
      <w:r>
        <w:rPr>
          <w:rStyle w:val="normaltextrun"/>
          <w:rFonts w:ascii="Calibri" w:hAnsi="Calibri" w:cs="Calibri"/>
          <w:b/>
          <w:bCs/>
          <w:color w:val="000000"/>
          <w:sz w:val="22"/>
          <w:szCs w:val="22"/>
        </w:rPr>
        <w:t>sustainable supply of timber</w:t>
      </w:r>
      <w:r>
        <w:rPr>
          <w:rStyle w:val="normaltextrun"/>
          <w:rFonts w:ascii="Calibri" w:hAnsi="Calibri" w:cs="Calibri"/>
          <w:color w:val="000000"/>
          <w:sz w:val="22"/>
          <w:szCs w:val="22"/>
        </w:rPr>
        <w:t>. </w:t>
      </w:r>
      <w:r>
        <w:rPr>
          <w:rStyle w:val="normaltextrun"/>
          <w:rFonts w:ascii="Calibri" w:hAnsi="Calibri" w:cs="Calibri"/>
          <w:sz w:val="22"/>
          <w:szCs w:val="22"/>
        </w:rPr>
        <w:t xml:space="preserve"> The implemented Forest Management Systems map will drive programmes for forest infrastructure, first </w:t>
      </w:r>
      <w:proofErr w:type="spellStart"/>
      <w:r>
        <w:rPr>
          <w:rStyle w:val="normaltextrun"/>
          <w:rFonts w:ascii="Calibri" w:hAnsi="Calibri" w:cs="Calibri"/>
          <w:sz w:val="22"/>
          <w:szCs w:val="22"/>
        </w:rPr>
        <w:t>thinnings</w:t>
      </w:r>
      <w:proofErr w:type="spellEnd"/>
      <w:r>
        <w:rPr>
          <w:rStyle w:val="normaltextrun"/>
          <w:rFonts w:ascii="Calibri" w:hAnsi="Calibri" w:cs="Calibri"/>
          <w:sz w:val="22"/>
          <w:szCs w:val="22"/>
        </w:rPr>
        <w:t xml:space="preserve">, biodiversity </w:t>
      </w:r>
      <w:proofErr w:type="spellStart"/>
      <w:r>
        <w:rPr>
          <w:rStyle w:val="normaltextrun"/>
          <w:rFonts w:ascii="Calibri" w:hAnsi="Calibri" w:cs="Calibri"/>
          <w:sz w:val="22"/>
          <w:szCs w:val="22"/>
        </w:rPr>
        <w:t>thinnings</w:t>
      </w:r>
      <w:proofErr w:type="spellEnd"/>
      <w:r>
        <w:rPr>
          <w:rStyle w:val="normaltextrun"/>
          <w:rFonts w:ascii="Calibri" w:hAnsi="Calibri" w:cs="Calibri"/>
          <w:sz w:val="22"/>
          <w:szCs w:val="22"/>
        </w:rPr>
        <w:t xml:space="preserve">, landscape change, </w:t>
      </w:r>
      <w:proofErr w:type="gramStart"/>
      <w:r>
        <w:rPr>
          <w:rStyle w:val="normaltextrun"/>
          <w:rFonts w:ascii="Calibri" w:hAnsi="Calibri" w:cs="Calibri"/>
          <w:sz w:val="22"/>
          <w:szCs w:val="22"/>
        </w:rPr>
        <w:t>species</w:t>
      </w:r>
      <w:proofErr w:type="gramEnd"/>
      <w:r>
        <w:rPr>
          <w:rStyle w:val="normaltextrun"/>
          <w:rFonts w:ascii="Calibri" w:hAnsi="Calibri" w:cs="Calibri"/>
          <w:sz w:val="22"/>
          <w:szCs w:val="22"/>
        </w:rPr>
        <w:t xml:space="preserve"> and woodland structure diversity along with biodiversity connectivity.  </w:t>
      </w:r>
      <w:r>
        <w:rPr>
          <w:rStyle w:val="normaltextrun"/>
          <w:rFonts w:ascii="Calibri" w:hAnsi="Calibri" w:cs="Calibri"/>
          <w:b/>
          <w:bCs/>
          <w:sz w:val="22"/>
          <w:szCs w:val="22"/>
        </w:rPr>
        <w:t xml:space="preserve">5-year monitoring of habitat &amp; species composition from the </w:t>
      </w:r>
      <w:proofErr w:type="spellStart"/>
      <w:r>
        <w:rPr>
          <w:rStyle w:val="normaltextrun"/>
          <w:rFonts w:ascii="Calibri" w:hAnsi="Calibri" w:cs="Calibri"/>
          <w:b/>
          <w:bCs/>
          <w:sz w:val="22"/>
          <w:szCs w:val="22"/>
        </w:rPr>
        <w:t>subcompartment</w:t>
      </w:r>
      <w:proofErr w:type="spellEnd"/>
      <w:r>
        <w:rPr>
          <w:rStyle w:val="normaltextrun"/>
          <w:rFonts w:ascii="Calibri" w:hAnsi="Calibri" w:cs="Calibri"/>
          <w:b/>
          <w:bCs/>
          <w:sz w:val="22"/>
          <w:szCs w:val="22"/>
        </w:rPr>
        <w:t xml:space="preserve"> database, completed thinning and clear-felling records with comparisons to production forecast data.  </w:t>
      </w:r>
      <w:r>
        <w:rPr>
          <w:rStyle w:val="normaltextrun"/>
          <w:rFonts w:ascii="Calibri" w:hAnsi="Calibri" w:cs="Calibri"/>
          <w:sz w:val="22"/>
          <w:szCs w:val="22"/>
        </w:rPr>
        <w:t> </w:t>
      </w:r>
      <w:r>
        <w:rPr>
          <w:rStyle w:val="eop"/>
          <w:rFonts w:ascii="Calibri" w:hAnsi="Calibri" w:cs="Calibri"/>
          <w:sz w:val="22"/>
          <w:szCs w:val="22"/>
        </w:rPr>
        <w:t> </w:t>
      </w:r>
    </w:p>
    <w:p w14:paraId="223D237A" w14:textId="77777777" w:rsidR="00AA378B" w:rsidRDefault="00AA378B"/>
    <w:sectPr w:rsidR="00AA3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967"/>
    <w:multiLevelType w:val="multilevel"/>
    <w:tmpl w:val="AE988C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894E9D"/>
    <w:multiLevelType w:val="multilevel"/>
    <w:tmpl w:val="5BDC7F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7F47C0"/>
    <w:multiLevelType w:val="multilevel"/>
    <w:tmpl w:val="B0321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A4764"/>
    <w:multiLevelType w:val="multilevel"/>
    <w:tmpl w:val="325EC7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8626238"/>
    <w:multiLevelType w:val="multilevel"/>
    <w:tmpl w:val="946EC8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D41D7"/>
    <w:multiLevelType w:val="multilevel"/>
    <w:tmpl w:val="46186C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8B5705"/>
    <w:multiLevelType w:val="multilevel"/>
    <w:tmpl w:val="6824B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3478F"/>
    <w:multiLevelType w:val="multilevel"/>
    <w:tmpl w:val="195A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D7609"/>
    <w:multiLevelType w:val="multilevel"/>
    <w:tmpl w:val="0FF8F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649B0"/>
    <w:multiLevelType w:val="multilevel"/>
    <w:tmpl w:val="4A6EDA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7D7B90"/>
    <w:multiLevelType w:val="multilevel"/>
    <w:tmpl w:val="110EAC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D84A6F"/>
    <w:multiLevelType w:val="multilevel"/>
    <w:tmpl w:val="91A4A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B4BFA"/>
    <w:multiLevelType w:val="multilevel"/>
    <w:tmpl w:val="E2768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A513BC8"/>
    <w:multiLevelType w:val="multilevel"/>
    <w:tmpl w:val="71624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3"/>
  </w:num>
  <w:num w:numId="4">
    <w:abstractNumId w:val="9"/>
  </w:num>
  <w:num w:numId="5">
    <w:abstractNumId w:val="13"/>
  </w:num>
  <w:num w:numId="6">
    <w:abstractNumId w:val="6"/>
  </w:num>
  <w:num w:numId="7">
    <w:abstractNumId w:val="11"/>
  </w:num>
  <w:num w:numId="8">
    <w:abstractNumId w:val="2"/>
  </w:num>
  <w:num w:numId="9">
    <w:abstractNumId w:val="5"/>
  </w:num>
  <w:num w:numId="10">
    <w:abstractNumId w:val="1"/>
  </w:num>
  <w:num w:numId="11">
    <w:abstractNumId w:val="0"/>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8B"/>
    <w:rsid w:val="00764CB1"/>
    <w:rsid w:val="008826D0"/>
    <w:rsid w:val="00AA378B"/>
    <w:rsid w:val="00C5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0544"/>
  <w15:chartTrackingRefBased/>
  <w15:docId w15:val="{7E23123A-7B7C-425F-9D3B-77514FF2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37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378B"/>
  </w:style>
  <w:style w:type="character" w:customStyle="1" w:styleId="eop">
    <w:name w:val="eop"/>
    <w:basedOn w:val="DefaultParagraphFont"/>
    <w:rsid w:val="00AA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38753">
      <w:bodyDiv w:val="1"/>
      <w:marLeft w:val="0"/>
      <w:marRight w:val="0"/>
      <w:marTop w:val="0"/>
      <w:marBottom w:val="0"/>
      <w:divBdr>
        <w:top w:val="none" w:sz="0" w:space="0" w:color="auto"/>
        <w:left w:val="none" w:sz="0" w:space="0" w:color="auto"/>
        <w:bottom w:val="none" w:sz="0" w:space="0" w:color="auto"/>
        <w:right w:val="none" w:sz="0" w:space="0" w:color="auto"/>
      </w:divBdr>
      <w:divsChild>
        <w:div w:id="227695548">
          <w:marLeft w:val="0"/>
          <w:marRight w:val="0"/>
          <w:marTop w:val="0"/>
          <w:marBottom w:val="0"/>
          <w:divBdr>
            <w:top w:val="none" w:sz="0" w:space="0" w:color="auto"/>
            <w:left w:val="none" w:sz="0" w:space="0" w:color="auto"/>
            <w:bottom w:val="none" w:sz="0" w:space="0" w:color="auto"/>
            <w:right w:val="none" w:sz="0" w:space="0" w:color="auto"/>
          </w:divBdr>
        </w:div>
        <w:div w:id="91513126">
          <w:marLeft w:val="0"/>
          <w:marRight w:val="0"/>
          <w:marTop w:val="0"/>
          <w:marBottom w:val="0"/>
          <w:divBdr>
            <w:top w:val="none" w:sz="0" w:space="0" w:color="auto"/>
            <w:left w:val="none" w:sz="0" w:space="0" w:color="auto"/>
            <w:bottom w:val="none" w:sz="0" w:space="0" w:color="auto"/>
            <w:right w:val="none" w:sz="0" w:space="0" w:color="auto"/>
          </w:divBdr>
        </w:div>
        <w:div w:id="441195581">
          <w:marLeft w:val="0"/>
          <w:marRight w:val="0"/>
          <w:marTop w:val="0"/>
          <w:marBottom w:val="0"/>
          <w:divBdr>
            <w:top w:val="none" w:sz="0" w:space="0" w:color="auto"/>
            <w:left w:val="none" w:sz="0" w:space="0" w:color="auto"/>
            <w:bottom w:val="none" w:sz="0" w:space="0" w:color="auto"/>
            <w:right w:val="none" w:sz="0" w:space="0" w:color="auto"/>
          </w:divBdr>
        </w:div>
        <w:div w:id="1649166608">
          <w:marLeft w:val="0"/>
          <w:marRight w:val="0"/>
          <w:marTop w:val="0"/>
          <w:marBottom w:val="0"/>
          <w:divBdr>
            <w:top w:val="none" w:sz="0" w:space="0" w:color="auto"/>
            <w:left w:val="none" w:sz="0" w:space="0" w:color="auto"/>
            <w:bottom w:val="none" w:sz="0" w:space="0" w:color="auto"/>
            <w:right w:val="none" w:sz="0" w:space="0" w:color="auto"/>
          </w:divBdr>
        </w:div>
        <w:div w:id="2064869280">
          <w:marLeft w:val="0"/>
          <w:marRight w:val="0"/>
          <w:marTop w:val="0"/>
          <w:marBottom w:val="0"/>
          <w:divBdr>
            <w:top w:val="none" w:sz="0" w:space="0" w:color="auto"/>
            <w:left w:val="none" w:sz="0" w:space="0" w:color="auto"/>
            <w:bottom w:val="none" w:sz="0" w:space="0" w:color="auto"/>
            <w:right w:val="none" w:sz="0" w:space="0" w:color="auto"/>
          </w:divBdr>
        </w:div>
        <w:div w:id="297954717">
          <w:marLeft w:val="0"/>
          <w:marRight w:val="0"/>
          <w:marTop w:val="0"/>
          <w:marBottom w:val="0"/>
          <w:divBdr>
            <w:top w:val="none" w:sz="0" w:space="0" w:color="auto"/>
            <w:left w:val="none" w:sz="0" w:space="0" w:color="auto"/>
            <w:bottom w:val="none" w:sz="0" w:space="0" w:color="auto"/>
            <w:right w:val="none" w:sz="0" w:space="0" w:color="auto"/>
          </w:divBdr>
        </w:div>
        <w:div w:id="1057817997">
          <w:marLeft w:val="0"/>
          <w:marRight w:val="0"/>
          <w:marTop w:val="0"/>
          <w:marBottom w:val="0"/>
          <w:divBdr>
            <w:top w:val="none" w:sz="0" w:space="0" w:color="auto"/>
            <w:left w:val="none" w:sz="0" w:space="0" w:color="auto"/>
            <w:bottom w:val="none" w:sz="0" w:space="0" w:color="auto"/>
            <w:right w:val="none" w:sz="0" w:space="0" w:color="auto"/>
          </w:divBdr>
        </w:div>
        <w:div w:id="1209801707">
          <w:marLeft w:val="0"/>
          <w:marRight w:val="0"/>
          <w:marTop w:val="0"/>
          <w:marBottom w:val="0"/>
          <w:divBdr>
            <w:top w:val="none" w:sz="0" w:space="0" w:color="auto"/>
            <w:left w:val="none" w:sz="0" w:space="0" w:color="auto"/>
            <w:bottom w:val="none" w:sz="0" w:space="0" w:color="auto"/>
            <w:right w:val="none" w:sz="0" w:space="0" w:color="auto"/>
          </w:divBdr>
        </w:div>
        <w:div w:id="1133253808">
          <w:marLeft w:val="0"/>
          <w:marRight w:val="0"/>
          <w:marTop w:val="0"/>
          <w:marBottom w:val="0"/>
          <w:divBdr>
            <w:top w:val="none" w:sz="0" w:space="0" w:color="auto"/>
            <w:left w:val="none" w:sz="0" w:space="0" w:color="auto"/>
            <w:bottom w:val="none" w:sz="0" w:space="0" w:color="auto"/>
            <w:right w:val="none" w:sz="0" w:space="0" w:color="auto"/>
          </w:divBdr>
        </w:div>
        <w:div w:id="262959919">
          <w:marLeft w:val="0"/>
          <w:marRight w:val="0"/>
          <w:marTop w:val="0"/>
          <w:marBottom w:val="0"/>
          <w:divBdr>
            <w:top w:val="none" w:sz="0" w:space="0" w:color="auto"/>
            <w:left w:val="none" w:sz="0" w:space="0" w:color="auto"/>
            <w:bottom w:val="none" w:sz="0" w:space="0" w:color="auto"/>
            <w:right w:val="none" w:sz="0" w:space="0" w:color="auto"/>
          </w:divBdr>
        </w:div>
        <w:div w:id="278297505">
          <w:marLeft w:val="0"/>
          <w:marRight w:val="0"/>
          <w:marTop w:val="0"/>
          <w:marBottom w:val="0"/>
          <w:divBdr>
            <w:top w:val="none" w:sz="0" w:space="0" w:color="auto"/>
            <w:left w:val="none" w:sz="0" w:space="0" w:color="auto"/>
            <w:bottom w:val="none" w:sz="0" w:space="0" w:color="auto"/>
            <w:right w:val="none" w:sz="0" w:space="0" w:color="auto"/>
          </w:divBdr>
        </w:div>
        <w:div w:id="1783525321">
          <w:marLeft w:val="0"/>
          <w:marRight w:val="0"/>
          <w:marTop w:val="0"/>
          <w:marBottom w:val="0"/>
          <w:divBdr>
            <w:top w:val="none" w:sz="0" w:space="0" w:color="auto"/>
            <w:left w:val="none" w:sz="0" w:space="0" w:color="auto"/>
            <w:bottom w:val="none" w:sz="0" w:space="0" w:color="auto"/>
            <w:right w:val="none" w:sz="0" w:space="0" w:color="auto"/>
          </w:divBdr>
        </w:div>
        <w:div w:id="484510156">
          <w:marLeft w:val="0"/>
          <w:marRight w:val="0"/>
          <w:marTop w:val="0"/>
          <w:marBottom w:val="0"/>
          <w:divBdr>
            <w:top w:val="none" w:sz="0" w:space="0" w:color="auto"/>
            <w:left w:val="none" w:sz="0" w:space="0" w:color="auto"/>
            <w:bottom w:val="none" w:sz="0" w:space="0" w:color="auto"/>
            <w:right w:val="none" w:sz="0" w:space="0" w:color="auto"/>
          </w:divBdr>
        </w:div>
        <w:div w:id="822819335">
          <w:marLeft w:val="0"/>
          <w:marRight w:val="0"/>
          <w:marTop w:val="0"/>
          <w:marBottom w:val="0"/>
          <w:divBdr>
            <w:top w:val="none" w:sz="0" w:space="0" w:color="auto"/>
            <w:left w:val="none" w:sz="0" w:space="0" w:color="auto"/>
            <w:bottom w:val="none" w:sz="0" w:space="0" w:color="auto"/>
            <w:right w:val="none" w:sz="0" w:space="0" w:color="auto"/>
          </w:divBdr>
        </w:div>
        <w:div w:id="946624473">
          <w:marLeft w:val="0"/>
          <w:marRight w:val="0"/>
          <w:marTop w:val="0"/>
          <w:marBottom w:val="0"/>
          <w:divBdr>
            <w:top w:val="none" w:sz="0" w:space="0" w:color="auto"/>
            <w:left w:val="none" w:sz="0" w:space="0" w:color="auto"/>
            <w:bottom w:val="none" w:sz="0" w:space="0" w:color="auto"/>
            <w:right w:val="none" w:sz="0" w:space="0" w:color="auto"/>
          </w:divBdr>
        </w:div>
        <w:div w:id="42685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resources.wales/about-us/area-statements/south-central-wales-area-statement/building-resilient-ecosystems/?lang=en" TargetMode="External"/><Relationship Id="rId3" Type="http://schemas.openxmlformats.org/officeDocument/2006/relationships/settings" Target="settings.xml"/><Relationship Id="rId7" Type="http://schemas.openxmlformats.org/officeDocument/2006/relationships/hyperlink" Target="https://naturalresources.wales/evidence-and-data/research-and-reports/state-of-natural-resources-report-sonarr-for-wales-2020/?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uralresources.wales/about-us/area-statements/south-central-wales-area-statement/?lang=en" TargetMode="External"/><Relationship Id="rId11" Type="http://schemas.openxmlformats.org/officeDocument/2006/relationships/theme" Target="theme/theme1.xml"/><Relationship Id="rId5" Type="http://schemas.openxmlformats.org/officeDocument/2006/relationships/hyperlink" Target="https://cdn.cyfoethnaturiol.cymru/media/686131/purpose-and-role-of-wgwe_web-version_eng.pdf?mode=pad&amp;rnd=131765585640000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uralresources.wales/evidence-and-data/research-and-reports/state-of-natural-resources-report-sonarr-for-wales-2020/?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Phipps, Richard</dc:creator>
  <cp:keywords/>
  <dc:description/>
  <cp:lastModifiedBy>Phipps, Richard</cp:lastModifiedBy>
  <cp:revision>3</cp:revision>
  <dcterms:created xsi:type="dcterms:W3CDTF">2022-09-21T13:36:00Z</dcterms:created>
  <dcterms:modified xsi:type="dcterms:W3CDTF">2022-09-21T15:29:00Z</dcterms:modified>
</cp:coreProperties>
</file>